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4D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"/>
        <w:textAlignment w:val="auto"/>
        <w:rPr>
          <w:rFonts w:hint="eastAsia" w:ascii="Times New Roman" w:hAnsi="Times New Roman" w:eastAsia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73B41861">
      <w:pPr>
        <w:spacing w:line="560" w:lineRule="exact"/>
        <w:ind w:right="6"/>
        <w:jc w:val="left"/>
        <w:rPr>
          <w:rFonts w:ascii="Times New Roman" w:hAnsi="Times New Roman" w:eastAsia="方正仿宋_GBK"/>
          <w:b/>
          <w:sz w:val="44"/>
          <w:szCs w:val="32"/>
        </w:rPr>
      </w:pPr>
    </w:p>
    <w:p w14:paraId="26E00C04">
      <w:pPr>
        <w:spacing w:before="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广西壮族自治区行政执法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统计年报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 w14:paraId="294BC58A">
      <w:pPr>
        <w:spacing w:before="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6646740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 w14:paraId="3D633A4E">
      <w:pPr>
        <w:jc w:val="left"/>
        <w:rPr>
          <w:rFonts w:ascii="黑体" w:hAnsi="黑体" w:eastAsia="黑体" w:cs="黑体"/>
          <w:sz w:val="20"/>
        </w:rPr>
      </w:pPr>
    </w:p>
    <w:p w14:paraId="3DAB150C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 w14:paraId="24BB84D2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 w14:paraId="5176439C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 w14:paraId="4EAE6A54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 w14:paraId="498B3A4A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 w14:paraId="57F87F54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 w14:paraId="6358BD18">
      <w:pPr>
        <w:spacing w:line="560" w:lineRule="exact"/>
        <w:jc w:val="center"/>
        <w:rPr>
          <w:rFonts w:hint="eastAsia" w:ascii="仿宋" w:hAnsi="仿宋" w:cs="宋体"/>
          <w:szCs w:val="32"/>
          <w:lang w:val="en-US" w:eastAsia="zh-CN"/>
        </w:rPr>
      </w:pPr>
      <w:r>
        <w:rPr>
          <w:rFonts w:hint="eastAsia" w:ascii="仿宋" w:hAnsi="仿宋" w:cs="宋体"/>
          <w:szCs w:val="32"/>
          <w:lang w:val="en-US" w:eastAsia="zh-CN"/>
        </w:rPr>
        <w:t>七、行政裁决</w:t>
      </w:r>
      <w:r>
        <w:rPr>
          <w:rFonts w:ascii="仿宋" w:hAnsi="仿宋" w:cs="宋体"/>
          <w:szCs w:val="32"/>
        </w:rPr>
        <w:t>实施情况统计表</w:t>
      </w:r>
    </w:p>
    <w:p w14:paraId="6A9B264B">
      <w:pPr>
        <w:spacing w:line="560" w:lineRule="exact"/>
        <w:jc w:val="center"/>
        <w:rPr>
          <w:rFonts w:hint="eastAsia" w:ascii="仿宋" w:hAnsi="仿宋" w:cs="宋体"/>
          <w:szCs w:val="32"/>
          <w:lang w:val="en-US" w:eastAsia="zh-CN"/>
        </w:rPr>
      </w:pPr>
      <w:r>
        <w:rPr>
          <w:rFonts w:hint="eastAsia" w:ascii="仿宋" w:hAnsi="仿宋" w:cs="宋体"/>
          <w:szCs w:val="32"/>
          <w:lang w:val="en-US" w:eastAsia="zh-CN"/>
        </w:rPr>
        <w:t>八、行政确认</w:t>
      </w:r>
      <w:r>
        <w:rPr>
          <w:rFonts w:ascii="仿宋" w:hAnsi="仿宋" w:cs="宋体"/>
          <w:szCs w:val="32"/>
        </w:rPr>
        <w:t>实施情况统计表</w:t>
      </w:r>
    </w:p>
    <w:p w14:paraId="7A3C5DA4">
      <w:pPr>
        <w:spacing w:line="560" w:lineRule="exact"/>
        <w:jc w:val="center"/>
        <w:rPr>
          <w:rFonts w:hint="default" w:ascii="仿宋" w:hAnsi="仿宋" w:cs="宋体"/>
          <w:szCs w:val="32"/>
          <w:lang w:val="en-US" w:eastAsia="zh-CN"/>
        </w:rPr>
      </w:pPr>
    </w:p>
    <w:p w14:paraId="7DFCC92D">
      <w:pPr>
        <w:spacing w:line="560" w:lineRule="exact"/>
        <w:jc w:val="center"/>
        <w:rPr>
          <w:rFonts w:hint="default" w:ascii="仿宋" w:hAnsi="仿宋" w:cs="宋体"/>
          <w:szCs w:val="32"/>
          <w:lang w:val="en-US" w:eastAsia="zh-CN"/>
        </w:rPr>
      </w:pPr>
    </w:p>
    <w:p w14:paraId="5C93193A">
      <w:pPr>
        <w:tabs>
          <w:tab w:val="left" w:pos="895"/>
          <w:tab w:val="left" w:pos="3535"/>
        </w:tabs>
        <w:spacing w:line="554" w:lineRule="auto"/>
        <w:ind w:left="16" w:leftChars="5" w:firstLine="2502" w:firstLineChars="78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统计年度：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2024年度 </w:t>
      </w:r>
    </w:p>
    <w:p w14:paraId="2A5B053C">
      <w:pPr>
        <w:tabs>
          <w:tab w:val="left" w:pos="895"/>
          <w:tab w:val="left" w:pos="3535"/>
        </w:tabs>
        <w:spacing w:line="554" w:lineRule="auto"/>
        <w:ind w:left="16" w:leftChars="5" w:firstLine="2502" w:firstLineChars="782"/>
        <w:jc w:val="both"/>
        <w:rPr>
          <w:rFonts w:hint="eastAsia" w:ascii="黑体" w:hAnsi="黑体" w:eastAsia="黑体" w:cs="黑体"/>
          <w:sz w:val="32"/>
          <w:szCs w:val="32"/>
          <w:u w:val="thick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填报部门：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梧州市住房公积金管理中心 </w:t>
      </w:r>
    </w:p>
    <w:p w14:paraId="7B1F9D6C">
      <w:pPr>
        <w:widowControl/>
        <w:ind w:left="16" w:leftChars="5" w:firstLine="2502" w:firstLineChars="78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2025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 w14:paraId="634A2DF3">
      <w:pPr>
        <w:spacing w:before="164" w:line="320" w:lineRule="exact"/>
        <w:ind w:left="12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 w14:paraId="34976B18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梧州市住房公积金管理中心2024</w:t>
      </w:r>
      <w:r>
        <w:rPr>
          <w:rFonts w:ascii="黑体" w:hAnsi="黑体" w:eastAsia="黑体" w:cs="黑体"/>
        </w:rPr>
        <w:t>年度行政许可实施情况统计表</w:t>
      </w:r>
      <w:bookmarkStart w:id="0" w:name="_GoBack"/>
      <w:bookmarkEnd w:id="0"/>
    </w:p>
    <w:p w14:paraId="3EBDA858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3"/>
        <w:tblW w:w="0" w:type="auto"/>
        <w:tblInd w:w="-7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3083"/>
        <w:gridCol w:w="1658"/>
        <w:gridCol w:w="1480"/>
        <w:gridCol w:w="1877"/>
        <w:gridCol w:w="1927"/>
        <w:gridCol w:w="3249"/>
      </w:tblGrid>
      <w:tr w14:paraId="0C518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AEEC7BA"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24109A2"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82E86E">
            <w:pPr>
              <w:spacing w:before="121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行政许可实施数量（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45FE2B3">
            <w:pPr>
              <w:spacing w:before="1" w:line="320" w:lineRule="exact"/>
              <w:ind w:left="989" w:right="719" w:right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100"/>
                <w:kern w:val="0"/>
                <w:sz w:val="24"/>
                <w:szCs w:val="24"/>
              </w:rPr>
              <w:t>撤销许可数量</w:t>
            </w: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7C2E6B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8CFA49D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0D37045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F26271">
            <w:pPr>
              <w:spacing w:before="122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A78AAF">
            <w:pPr>
              <w:spacing w:before="122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F1A6B00"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036EEF"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22BE17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B3645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79B6A4F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C4D1D9C">
            <w:pPr>
              <w:spacing w:before="121" w:line="3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本单位无此行政职责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22F4214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A9BC8BF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FA99151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0F6B129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72A3B29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EFE4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4EE624B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826B038">
            <w:pPr>
              <w:spacing w:before="121"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3F95977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9918C8D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612C7B7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F401F0B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4FDAEF4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EEBE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0860427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6E3FA24">
            <w:pPr>
              <w:spacing w:before="121"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C8312A0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40542E3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E436B9D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2412875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CAD870B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3FCA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C815B1E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042FA08">
            <w:pPr>
              <w:spacing w:before="121"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2C818E7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EFC6D96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8A4BCF8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4837230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2BEF027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D29C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20CC5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D61E9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198F6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A52BC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DEED1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F8B63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</w:tbl>
    <w:p w14:paraId="73BD2922">
      <w:pPr>
        <w:tabs>
          <w:tab w:val="left" w:pos="943"/>
        </w:tabs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11FAEBD9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1.“申请数量”的统计范围为统计年度1月1日至12月31日期间许可机关收到当事人许可申请的数量。</w:t>
      </w:r>
    </w:p>
    <w:p w14:paraId="47CD4943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 w14:paraId="7C3B3814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3.准予变更、延续和不予变更、延续的数量，分别计入“许可数量”、“不予许可数量”。</w:t>
      </w:r>
    </w:p>
    <w:p w14:paraId="4D04491C">
      <w:pPr>
        <w:widowControl/>
        <w:spacing w:line="320" w:lineRule="exact"/>
        <w:jc w:val="left"/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</w:rPr>
        <w:t>表二</w:t>
      </w:r>
    </w:p>
    <w:p w14:paraId="72723BA5">
      <w:pPr>
        <w:tabs>
          <w:tab w:val="left" w:pos="4459"/>
          <w:tab w:val="left" w:pos="6379"/>
        </w:tabs>
        <w:spacing w:before="181" w:line="320" w:lineRule="exact"/>
        <w:ind w:firstLine="640" w:firstLineChars="20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梧州市住房公积金管理中心2024</w:t>
      </w:r>
      <w:r>
        <w:rPr>
          <w:rFonts w:hint="eastAsia" w:ascii="黑体" w:hAnsi="黑体" w:eastAsia="黑体" w:cs="黑体"/>
        </w:rPr>
        <w:t>年度行政处罚实施情况统计表</w:t>
      </w:r>
    </w:p>
    <w:tbl>
      <w:tblPr>
        <w:tblStyle w:val="3"/>
        <w:tblpPr w:leftFromText="180" w:rightFromText="180" w:vertAnchor="text" w:horzAnchor="page" w:tblpX="1253" w:tblpY="369"/>
        <w:tblOverlap w:val="never"/>
        <w:tblW w:w="0" w:type="auto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0"/>
        <w:gridCol w:w="1050"/>
        <w:gridCol w:w="630"/>
        <w:gridCol w:w="600"/>
        <w:gridCol w:w="657"/>
        <w:gridCol w:w="633"/>
        <w:gridCol w:w="572"/>
        <w:gridCol w:w="603"/>
        <w:gridCol w:w="622"/>
        <w:gridCol w:w="3"/>
        <w:gridCol w:w="568"/>
        <w:gridCol w:w="633"/>
        <w:gridCol w:w="622"/>
        <w:gridCol w:w="555"/>
        <w:gridCol w:w="569"/>
        <w:gridCol w:w="537"/>
        <w:gridCol w:w="603"/>
        <w:gridCol w:w="553"/>
        <w:gridCol w:w="486"/>
        <w:gridCol w:w="487"/>
        <w:gridCol w:w="520"/>
        <w:gridCol w:w="557"/>
        <w:gridCol w:w="618"/>
        <w:gridCol w:w="675"/>
      </w:tblGrid>
      <w:tr w14:paraId="3159AA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D56E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64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101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506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单项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行政处罚实施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CA7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处罚案件总数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03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罚没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黑体" w:hAnsi="黑体" w:eastAsia="黑体" w:cs="黑体"/>
                <w:sz w:val="24"/>
                <w:szCs w:val="24"/>
              </w:rPr>
              <w:t>金额</w:t>
            </w:r>
          </w:p>
        </w:tc>
      </w:tr>
      <w:tr w14:paraId="1E2FCD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D19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E9D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F4F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警告</w:t>
            </w:r>
          </w:p>
          <w:p w14:paraId="1547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5F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通报批评</w:t>
            </w:r>
          </w:p>
          <w:p w14:paraId="7706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65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058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罚款</w:t>
            </w: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0E2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没收违法所得、没收非法财物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78C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暂扣许可证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BC1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降低资质等级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10F9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吊销许可证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FA5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限制开展生产经营活动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A5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责令停产停业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BD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44D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限制从业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601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行政拘留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52F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其他行政处罚</w:t>
            </w: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30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0E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3F2B9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67D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A8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BB5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27A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03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4C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6B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CB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5BE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4CD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A77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4B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1E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4E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3FF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400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DC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E38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E38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62A7D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414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E27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9D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7A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8B84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677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62A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不予处罚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B11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免予处罚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F39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从轻处罚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5E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减轻处罚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F9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E12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C03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ED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6A1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32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68E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40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259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590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B07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7A8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170B9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AAC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B0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9CF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58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071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ABA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901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C75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28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46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B35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8E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C7A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328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DD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3F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74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DED0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EA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851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8E4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8D1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51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 w14:paraId="20D9AE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1BD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375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梧州市住房公积金管理中心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14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A14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3F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DC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09A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6E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944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D54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ECF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487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200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040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92C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289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9AB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AD8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61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DF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E7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66A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D18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543F5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atLeast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68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CEE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AB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CA2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B8B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09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228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3A8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21F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756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A9FB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B06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01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1D9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02E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0A5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1A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52B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35A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250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430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A6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AF9C197">
      <w:pPr>
        <w:tabs>
          <w:tab w:val="left" w:pos="4459"/>
          <w:tab w:val="left" w:pos="6379"/>
        </w:tabs>
        <w:spacing w:before="181" w:line="320" w:lineRule="exact"/>
        <w:jc w:val="left"/>
        <w:rPr>
          <w:rFonts w:ascii="黑体" w:hAnsi="黑体" w:eastAsia="黑体" w:cs="黑体"/>
        </w:rPr>
      </w:pPr>
    </w:p>
    <w:p w14:paraId="7073B051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462CB3F3">
      <w:pPr>
        <w:spacing w:line="320" w:lineRule="exact"/>
        <w:ind w:firstLine="464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行政处罚实施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24"/>
          <w:szCs w:val="24"/>
        </w:rPr>
        <w:t>的统计范围为统计年度1月1日至12月31日期间作出行政处罚决定的数量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及金额</w:t>
      </w:r>
      <w:r>
        <w:rPr>
          <w:rFonts w:hint="eastAsia" w:ascii="仿宋_GB2312" w:hAnsi="仿宋_GB2312" w:eastAsia="仿宋_GB2312" w:cs="仿宋_GB2312"/>
          <w:sz w:val="24"/>
          <w:szCs w:val="24"/>
        </w:rPr>
        <w:t>（包括经行政复议或者行政诉讼被撤销的行政处罚决定数量）。</w:t>
      </w:r>
    </w:p>
    <w:p w14:paraId="5EECBEC3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2.其他行政处罚，为法律、行政法规规定的其他行政处罚，比如驱逐出境等。</w:t>
      </w:r>
    </w:p>
    <w:p w14:paraId="6FD9FE66">
      <w:pPr>
        <w:tabs>
          <w:tab w:val="left" w:pos="943"/>
        </w:tabs>
        <w:spacing w:line="320" w:lineRule="exact"/>
        <w:ind w:firstLine="44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0"/>
          <w:sz w:val="24"/>
          <w:szCs w:val="24"/>
        </w:rPr>
        <w:t>3.单处一个类别行政处罚的，计入相应的行政处罚类别；并处两种以上行政处罚的，算一</w:t>
      </w:r>
      <w:r>
        <w:rPr>
          <w:rFonts w:hint="eastAsia" w:ascii="仿宋_GB2312" w:hAnsi="仿宋_GB2312" w:eastAsia="仿宋_GB2312" w:cs="仿宋_GB2312"/>
          <w:spacing w:val="-10"/>
          <w:sz w:val="24"/>
          <w:szCs w:val="24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pacing w:val="-10"/>
          <w:sz w:val="24"/>
          <w:szCs w:val="24"/>
        </w:rPr>
        <w:t>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6A51D102"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4.“罚没金额”以处罚决定书确定的金额为准。没收违法所得、没收非法财物能确定金额的，计入“罚没金额”；不能确定金额的，不计入“罚没金额”。</w:t>
      </w:r>
    </w:p>
    <w:p w14:paraId="675725B4"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5.“免予处罚”是指符合《中华人民共和国行政处罚法》第三十三条“初次违法且危害后果轻微并及时改正的，可以不予行政处罚”的规定，依法免予行政处罚的情形。</w:t>
      </w: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表三</w:t>
      </w:r>
    </w:p>
    <w:p w14:paraId="6C48D7C3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梧州市住房公积金管理中心2024</w:t>
      </w:r>
      <w:r>
        <w:rPr>
          <w:rFonts w:ascii="黑体" w:hAnsi="黑体" w:eastAsia="黑体" w:cs="黑体"/>
        </w:rPr>
        <w:t>年度行政强制实施情况统计表</w:t>
      </w:r>
    </w:p>
    <w:p w14:paraId="07D33D34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3"/>
        <w:tblW w:w="0" w:type="auto"/>
        <w:tblInd w:w="-2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696"/>
        <w:gridCol w:w="1036"/>
        <w:gridCol w:w="873"/>
        <w:gridCol w:w="1156"/>
        <w:gridCol w:w="828"/>
        <w:gridCol w:w="1036"/>
        <w:gridCol w:w="1038"/>
        <w:gridCol w:w="1894"/>
        <w:gridCol w:w="1141"/>
        <w:gridCol w:w="572"/>
        <w:gridCol w:w="810"/>
        <w:gridCol w:w="867"/>
        <w:gridCol w:w="573"/>
      </w:tblGrid>
      <w:tr w14:paraId="5F247C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AE2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10C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68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10C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38A1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行政强制措施实施数量（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7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469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行政强制执行实施数量（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98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E18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BE4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 w:right="17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合计</w:t>
            </w:r>
          </w:p>
        </w:tc>
      </w:tr>
      <w:tr w14:paraId="067ABC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24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7B83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5B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查封场所</w:t>
            </w:r>
            <w:r>
              <w:rPr>
                <w:rFonts w:ascii="黑体" w:hAnsi="黑体" w:eastAsia="黑体" w:cs="黑体"/>
                <w:sz w:val="24"/>
                <w:szCs w:val="24"/>
              </w:rPr>
              <w:t>、设施或者财物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DB3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扣押</w:t>
            </w:r>
          </w:p>
          <w:p w14:paraId="4F5A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财物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22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冻结存款、汇款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77E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</w:t>
            </w:r>
          </w:p>
          <w:p w14:paraId="7DBD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</w:p>
          <w:p w14:paraId="033CE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强制</w:t>
            </w:r>
          </w:p>
          <w:p w14:paraId="34BD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措施</w:t>
            </w:r>
          </w:p>
        </w:tc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A6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行政机关强制执行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B99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申请法院强制执行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A41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F987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EC8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63A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3BD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0ED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2ACE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DD2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C93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加处罚款或者滞纳金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E41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划拨存款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汇款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516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8FC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排除妨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碍、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恢复原状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3C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代履行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90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其他强制执行方式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D89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29C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9E544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DA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55E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ind w:left="103" w:right="8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本单位无此行政职责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562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F74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40A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77E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090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CDE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75A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5F8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FEB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897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260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774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D252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D9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33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9CF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FF5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43E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D43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88E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6B3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243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13D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5DD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481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F57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84C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D364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A31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9E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280" w:lineRule="exact"/>
              <w:ind w:left="103" w:right="10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277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886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E7A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8BA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8F5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4B8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38C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3D2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E64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0D0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98A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7FE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ADE3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F5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28C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ind w:left="103" w:right="10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6D6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078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C15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C14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4B1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500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A43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632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E474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D91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6BF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F4B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BDE1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C8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958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2A6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606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4A8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561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208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4CD9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5B8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825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B64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0FB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598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B323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65FCF776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行政强制措施实施数量的统计范围为统计年度1月1日至12 月 31日期间作出“查封场所、设施或者财物”、“扣押财物”、“冻结存款、汇款”或者“其他行政强制措施”决定的数量。</w:t>
      </w:r>
    </w:p>
    <w:p w14:paraId="48CCC409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6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14:paraId="2600456A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6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 w14:paraId="5DF9C1FF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6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4.申请法院强制执行数量的统计范围为统计年度1月1日至12月31日期间向法院申请强制执行的数量，时间以申请日期为准。</w:t>
      </w:r>
    </w:p>
    <w:p w14:paraId="5FCF6702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68" w:firstLineChars="200"/>
        <w:jc w:val="left"/>
        <w:textAlignment w:val="auto"/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br w:type="page"/>
      </w:r>
      <w:r>
        <w:rPr>
          <w:rFonts w:hint="eastAsia" w:ascii="黑体" w:hAnsi="黑体" w:eastAsia="黑体" w:cs="黑体"/>
        </w:rPr>
        <w:t>表四</w:t>
      </w:r>
    </w:p>
    <w:p w14:paraId="5BB863D9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梧州市住房公积金管理中心2024</w:t>
      </w:r>
      <w:r>
        <w:rPr>
          <w:rFonts w:ascii="黑体" w:hAnsi="黑体" w:eastAsia="黑体" w:cs="黑体"/>
        </w:rPr>
        <w:t>年度行政征收实施情况统计表</w:t>
      </w:r>
    </w:p>
    <w:p w14:paraId="3A15A252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3"/>
        <w:tblW w:w="0" w:type="auto"/>
        <w:tblInd w:w="-7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3458"/>
        <w:gridCol w:w="2760"/>
        <w:gridCol w:w="2598"/>
        <w:gridCol w:w="3870"/>
      </w:tblGrid>
      <w:tr w14:paraId="58DEA3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109B5E">
            <w:pPr>
              <w:spacing w:before="54" w:line="320" w:lineRule="exact"/>
              <w:ind w:right="97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27FF918">
            <w:pPr>
              <w:spacing w:before="11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83E59A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4C00199"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行政收费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06280A">
            <w:pPr>
              <w:spacing w:before="11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3C4B2A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土地、房屋征收实施数量（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5DFF96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88AE37A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7FB62E5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EB4FD57"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6B16020"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收费总金额（万元）</w:t>
            </w: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060B669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403E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81581F">
            <w:pPr>
              <w:spacing w:before="49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F19E1A8">
            <w:pPr>
              <w:spacing w:before="49" w:line="320" w:lineRule="exact"/>
              <w:ind w:left="10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本单位无此行政职责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0BE17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64C71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7ADAB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649D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0C69204">
            <w:pPr>
              <w:spacing w:before="7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23DF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C4C453F">
            <w:pPr>
              <w:spacing w:before="48" w:line="320" w:lineRule="exact"/>
              <w:ind w:left="10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4EF09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A8EBF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853B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063B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AAE5AE">
            <w:pPr>
              <w:spacing w:before="7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2C6B3C"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D39B78">
            <w:pPr>
              <w:spacing w:before="48" w:line="320" w:lineRule="exact"/>
              <w:ind w:left="10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ECB7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1262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6F295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E2E2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98A0690">
            <w:pPr>
              <w:spacing w:before="99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4CE614">
            <w:pPr>
              <w:spacing w:before="49" w:line="320" w:lineRule="exact"/>
              <w:ind w:left="10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C59F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59AFF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37EC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83F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613B17"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DDA5D2"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ABE2D59"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B13FC8D"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8E3208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68D61933">
      <w:pPr>
        <w:spacing w:line="400" w:lineRule="exact"/>
        <w:ind w:firstLine="464" w:firstLineChars="200"/>
        <w:jc w:val="left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1.行政征收的统计范围为统计年度1月1日至12月 3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日期间实施的行政收费及土地、房产征收等情况。（因征税属于中央垂直管理，不列入我区统计范围）</w:t>
      </w:r>
    </w:p>
    <w:p w14:paraId="4D1D3BAF">
      <w:pPr>
        <w:tabs>
          <w:tab w:val="left" w:pos="1063"/>
        </w:tabs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2.土地、房屋征收实施数量的统计，以政府正式批文为准。</w:t>
      </w:r>
    </w:p>
    <w:p w14:paraId="2F935EE8">
      <w:pPr>
        <w:jc w:val="left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表五</w:t>
      </w:r>
    </w:p>
    <w:p w14:paraId="7B9B0C2F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梧州市住房公积金管理中心2024</w:t>
      </w:r>
      <w:r>
        <w:rPr>
          <w:rFonts w:ascii="黑体" w:hAnsi="黑体" w:eastAsia="黑体" w:cs="黑体"/>
        </w:rPr>
        <w:t>年度行政征用实施情况统计表</w:t>
      </w:r>
    </w:p>
    <w:tbl>
      <w:tblPr>
        <w:tblStyle w:val="3"/>
        <w:tblW w:w="0" w:type="auto"/>
        <w:tblInd w:w="-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4"/>
        <w:gridCol w:w="4259"/>
        <w:gridCol w:w="8333"/>
      </w:tblGrid>
      <w:tr w14:paraId="38B04A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910B44">
            <w:pPr>
              <w:ind w:left="124" w:right="124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2824775">
            <w:pPr>
              <w:ind w:left="124" w:right="12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称</w:t>
            </w: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6F54FC5">
            <w:pPr>
              <w:ind w:left="124" w:right="12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行政征用实施数量（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233EEC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1E4D99">
            <w:pPr>
              <w:spacing w:before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B058FE"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本单位无此行政职责</w:t>
            </w: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92899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257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D842736">
            <w:pPr>
              <w:spacing w:before="4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CB5F908">
            <w:pPr>
              <w:spacing w:before="49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F99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829F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409B4A6">
            <w:pPr>
              <w:spacing w:before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0B8381"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293D5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F767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937B288">
            <w:pPr>
              <w:spacing w:before="49"/>
              <w:ind w:left="124" w:right="12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5AD8CDF">
            <w:pPr>
              <w:spacing w:before="49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6D39E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FFA0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5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B69D467"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C8DBC67"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49DA8DC">
      <w:pPr>
        <w:spacing w:before="26" w:line="40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5C5867B5">
      <w:pPr>
        <w:spacing w:before="26" w:line="400" w:lineRule="exact"/>
        <w:ind w:firstLine="464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行政征用实施数量的统计范围为统计年度1</w:t>
      </w:r>
      <w:r>
        <w:rPr>
          <w:rFonts w:hint="eastAsia" w:ascii="仿宋_GB2312" w:hAnsi="仿宋_GB2312" w:eastAsia="仿宋_GB2312" w:cs="仿宋_GB2312"/>
          <w:spacing w:val="-38"/>
          <w:sz w:val="24"/>
          <w:szCs w:val="24"/>
        </w:rPr>
        <w:t>月1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日至12</w:t>
      </w:r>
      <w:r>
        <w:rPr>
          <w:rFonts w:hint="eastAsia" w:ascii="仿宋_GB2312" w:hAnsi="仿宋_GB2312" w:eastAsia="仿宋_GB2312" w:cs="仿宋_GB2312"/>
          <w:spacing w:val="-39"/>
          <w:sz w:val="24"/>
          <w:szCs w:val="24"/>
        </w:rPr>
        <w:t>月31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日期间因抢险、救灾、反恐等公共利益需要而作出的行政征用决定的数量。</w:t>
      </w:r>
    </w:p>
    <w:p w14:paraId="2E9158DC"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7FB65DA0">
      <w:pPr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 w14:paraId="432CD9C5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梧州市住房公积金管理中心2024</w:t>
      </w:r>
      <w:r>
        <w:rPr>
          <w:rFonts w:ascii="黑体" w:hAnsi="黑体" w:eastAsia="黑体" w:cs="黑体"/>
        </w:rPr>
        <w:t>年度行政检查实施情况统计表</w:t>
      </w:r>
    </w:p>
    <w:tbl>
      <w:tblPr>
        <w:tblStyle w:val="3"/>
        <w:tblW w:w="0" w:type="auto"/>
        <w:tblInd w:w="-7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4370"/>
        <w:gridCol w:w="3985"/>
      </w:tblGrid>
      <w:tr w14:paraId="498198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D8C7B70">
            <w:pPr>
              <w:ind w:left="144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CA776D5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0402D68"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643C70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其中，涉企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3950CB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6E3B8C">
            <w:pPr>
              <w:spacing w:before="49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AF6376D">
            <w:pPr>
              <w:spacing w:before="49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本单位无此行政职责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73DD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50CCA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ABD2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9D4B24">
            <w:pPr>
              <w:spacing w:before="48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66E2561">
            <w:pPr>
              <w:spacing w:before="48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EBA6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2644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E8C7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661C07">
            <w:pPr>
              <w:spacing w:before="49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8450DBC">
            <w:pPr>
              <w:spacing w:before="49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0D89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8956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DA70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531736A">
            <w:pPr>
              <w:spacing w:before="48"/>
              <w:ind w:left="123" w:right="12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5CB1E32">
            <w:pPr>
              <w:spacing w:before="48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798D6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F311E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AA08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313748"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0CE02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ED93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D23C686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395F0885">
      <w:pPr>
        <w:spacing w:line="400" w:lineRule="exact"/>
        <w:ind w:firstLine="464" w:firstLineChars="200"/>
        <w:jc w:val="left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行政检查次数的统计范围为统计年度1月1日至12月31日期间开展行政检查的次数。检查1个检查对象，有完整、详细的检查记录，计为检查1次。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无特定检查对象的巡查、巡逻，无完整、详细检查记录，检查后作出行政处罚等其他行政执法行为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>的，不计入行政检查次数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。</w:t>
      </w:r>
    </w:p>
    <w:p w14:paraId="6011363A">
      <w:pPr>
        <w:spacing w:line="400" w:lineRule="exact"/>
        <w:ind w:firstLine="464" w:firstLineChars="200"/>
        <w:jc w:val="left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</w:p>
    <w:p w14:paraId="50A43608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七</w:t>
      </w:r>
    </w:p>
    <w:p w14:paraId="539C7140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梧州市住房公积金管理中心2024</w:t>
      </w:r>
      <w:r>
        <w:rPr>
          <w:rFonts w:ascii="黑体" w:hAnsi="黑体" w:eastAsia="黑体" w:cs="黑体"/>
        </w:rPr>
        <w:t>年度行政</w:t>
      </w:r>
      <w:r>
        <w:rPr>
          <w:rFonts w:hint="eastAsia" w:ascii="黑体" w:hAnsi="黑体" w:eastAsia="黑体" w:cs="黑体"/>
          <w:lang w:val="en-US" w:eastAsia="zh-CN"/>
        </w:rPr>
        <w:t>裁决</w:t>
      </w:r>
      <w:r>
        <w:rPr>
          <w:rFonts w:ascii="黑体" w:hAnsi="黑体" w:eastAsia="黑体" w:cs="黑体"/>
        </w:rPr>
        <w:t>实施情况统计表</w:t>
      </w:r>
    </w:p>
    <w:tbl>
      <w:tblPr>
        <w:tblStyle w:val="3"/>
        <w:tblW w:w="0" w:type="auto"/>
        <w:tblInd w:w="-7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4920"/>
        <w:gridCol w:w="3420"/>
      </w:tblGrid>
      <w:tr w14:paraId="0EC71E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796715">
            <w:pPr>
              <w:ind w:left="144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F7C740D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547C7D3"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裁决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事项名称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52E92B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次数</w:t>
            </w:r>
          </w:p>
        </w:tc>
      </w:tr>
      <w:tr w14:paraId="47D6D8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7B218AB">
            <w:pPr>
              <w:spacing w:before="49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2092AC">
            <w:pPr>
              <w:spacing w:before="49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本单位无此行政职责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1612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A20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2B1E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CCF1752">
            <w:pPr>
              <w:spacing w:before="48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6F0BEC">
            <w:pPr>
              <w:spacing w:before="48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2B446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8239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8966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4603A4F">
            <w:pPr>
              <w:spacing w:before="49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8D6B128">
            <w:pPr>
              <w:spacing w:before="49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AA87C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E485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4901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DBD491">
            <w:pPr>
              <w:spacing w:before="48"/>
              <w:ind w:left="123" w:right="12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CF36A7">
            <w:pPr>
              <w:spacing w:before="48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13C36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50EB5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A77C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10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EE17F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B8E93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AC864B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647A0BC0">
      <w:pPr>
        <w:spacing w:line="400" w:lineRule="exact"/>
        <w:ind w:firstLine="452" w:firstLineChars="200"/>
        <w:jc w:val="left"/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行政裁决是行政机关根据当事人申请，根据法律法规授权，居中对与行政管理活动密切相关的民事纠纷进行裁处的行为。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>行政裁决事项一般包括土地权属争议调处、林木林地权属争议处理、草原权属争议处理、探矿权勘查范围争议调处、矿区范围争议处理、专利侵权纠纷处理、计量纠纷的仲裁检定、政府采购投诉处理、水事纠纷处理、违反河道管理条例经济损失处理、水土保持赔偿纠纷处理、企业名称争议裁决等。</w:t>
      </w:r>
    </w:p>
    <w:p w14:paraId="37B6B4A0">
      <w:pPr>
        <w:spacing w:line="400" w:lineRule="exact"/>
        <w:ind w:firstLine="452" w:firstLineChars="200"/>
        <w:jc w:val="left"/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行政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lang w:val="en-US" w:eastAsia="zh-CN"/>
        </w:rPr>
        <w:t>裁决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次数的统计范围为统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>计年度1月1日至12月31日期间开展行政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>裁决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>的次数。</w:t>
      </w:r>
    </w:p>
    <w:p w14:paraId="6D95B645">
      <w:pPr>
        <w:spacing w:line="400" w:lineRule="exact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default" w:ascii="仿宋_GB2312" w:hAnsi="仿宋_GB2312" w:eastAsia="仿宋_GB2312" w:cs="仿宋_GB2312"/>
          <w:spacing w:val="-7"/>
          <w:sz w:val="24"/>
          <w:szCs w:val="24"/>
          <w:lang w:val="en-US" w:eastAsia="zh-CN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八</w:t>
      </w:r>
    </w:p>
    <w:p w14:paraId="686DB21F">
      <w:pPr>
        <w:tabs>
          <w:tab w:val="left" w:pos="4479"/>
          <w:tab w:val="left" w:pos="6399"/>
        </w:tabs>
        <w:spacing w:before="181"/>
        <w:ind w:firstLine="2880" w:firstLineChars="9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梧州市住房公积金管理中心2024</w:t>
      </w:r>
      <w:r>
        <w:rPr>
          <w:rFonts w:hint="eastAsia" w:ascii="黑体" w:hAnsi="黑体" w:eastAsia="黑体" w:cs="黑体"/>
        </w:rPr>
        <w:t>年度</w:t>
      </w:r>
      <w:r>
        <w:rPr>
          <w:rFonts w:ascii="黑体" w:hAnsi="黑体" w:eastAsia="黑体" w:cs="黑体"/>
        </w:rPr>
        <w:t>行政</w:t>
      </w:r>
      <w:r>
        <w:rPr>
          <w:rFonts w:hint="eastAsia" w:ascii="黑体" w:hAnsi="黑体" w:eastAsia="黑体" w:cs="黑体"/>
          <w:lang w:val="en-US" w:eastAsia="zh-CN"/>
        </w:rPr>
        <w:t>确认</w:t>
      </w:r>
      <w:r>
        <w:rPr>
          <w:rFonts w:ascii="黑体" w:hAnsi="黑体" w:eastAsia="黑体" w:cs="黑体"/>
        </w:rPr>
        <w:t>实施情况统计表</w:t>
      </w:r>
    </w:p>
    <w:tbl>
      <w:tblPr>
        <w:tblStyle w:val="3"/>
        <w:tblW w:w="0" w:type="auto"/>
        <w:tblInd w:w="-7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8370"/>
      </w:tblGrid>
      <w:tr w14:paraId="5CEF7D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C9CA48">
            <w:pPr>
              <w:ind w:left="144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63C284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BF6B272"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2E3D3F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EA2BDD7">
            <w:pPr>
              <w:spacing w:before="49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FB4B480">
            <w:pPr>
              <w:spacing w:before="49"/>
              <w:ind w:left="10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梧州市住房公积金管理中心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56A5AE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1.住房公积金单位登记开户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：5295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2.住房公积金个人登记开户：690                       3.住房公积金单位及个人缴存信息变更：13272           4.住房公积金缴存登记账户注销：179</w:t>
            </w:r>
          </w:p>
        </w:tc>
      </w:tr>
      <w:tr w14:paraId="052B06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9BDBC83">
            <w:pPr>
              <w:spacing w:before="48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C20A38">
            <w:pPr>
              <w:spacing w:before="48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DD883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06DC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9245624">
            <w:pPr>
              <w:spacing w:before="49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05E4B1B">
            <w:pPr>
              <w:spacing w:before="49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EB35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9BE2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448EB07"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C285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E4E7B3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</w:p>
    <w:p w14:paraId="18954746">
      <w:pPr>
        <w:spacing w:line="400" w:lineRule="exact"/>
        <w:ind w:firstLine="452" w:firstLineChars="200"/>
        <w:jc w:val="left"/>
      </w:pP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>行政确认是行政主体对既存在的法律事实和法律关系进行审查、认定，并宣示其法律效力的行政行为。行政确认种类有财产权确认、身份关系确认、行为能力确认、事故责任确认等，如不动产登记、婚姻登记、收养登记、交通事故责任认定、工伤认定、安全生产事故责任认定等。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行政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>次数的统计范围为统计年度1月1日至12月31日期间开展行政确认的次数。</w:t>
      </w:r>
    </w:p>
    <w:p w14:paraId="405B9BA2"/>
    <w:sectPr>
      <w:pgSz w:w="16838" w:h="11906" w:orient="landscape"/>
      <w:pgMar w:top="1247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07A1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88D1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F88D1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E27A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B6F6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A183B">
                          <w:r>
                            <w:t>ImpTraceLabel=PD94bWwgdmVyc2lvbj0nMS4wJyBlbmNvZGluZz0nVVRGLTgnPz48dHJhY2U+PGNvbnRlbnQ+PC9jb250ZW50PjxhY2NvdW50PnJ5YzJjaWE3dnl0NGo3Z3Zub21jb2M8L2FjY291bnQ+PG1hY2hpbmVDb2RlPjIzMzgwOTI1NkcwMDAzOTMwCjwvbWFjaGluZUNvZGU+PHRpbWU+MjAyNC0xMi0zMCAxMzozNDoyMDwvdGltZT48c3lzdGVtPk1CPHN5c3RlbT48L3RyYWNlPg==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C0A183B">
                    <w:r>
                      <w:t>ImpTraceLabel=PD94bWwgdmVyc2lvbj0nMS4wJyBlbmNvZGluZz0nVVRGLTgnPz48dHJhY2U+PGNvbnRlbnQ+PC9jb250ZW50PjxhY2NvdW50PnJ5YzJjaWE3dnl0NGo3Z3Zub21jb2M8L2FjY291bnQ+PG1hY2hpbmVDb2RlPjIzMzgwOTI1NkcwMDAzOTMwCjwvbWFjaGluZUNvZGU+PHRpbWU+MjAyNC0xMi0zMCAxMzozNDoyMD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C048E"/>
    <w:rsid w:val="10693DDE"/>
    <w:rsid w:val="13367661"/>
    <w:rsid w:val="14CD0259"/>
    <w:rsid w:val="1F5570C1"/>
    <w:rsid w:val="27B0758A"/>
    <w:rsid w:val="2BEA1BDF"/>
    <w:rsid w:val="2C7768C8"/>
    <w:rsid w:val="30980BBB"/>
    <w:rsid w:val="32EF7AAA"/>
    <w:rsid w:val="40104C12"/>
    <w:rsid w:val="457F75F3"/>
    <w:rsid w:val="49F31649"/>
    <w:rsid w:val="50F85FFE"/>
    <w:rsid w:val="6B252A70"/>
    <w:rsid w:val="7B01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2653</Words>
  <Characters>2737</Characters>
  <Lines>0</Lines>
  <Paragraphs>0</Paragraphs>
  <TotalTime>33</TotalTime>
  <ScaleCrop>false</ScaleCrop>
  <LinksUpToDate>false</LinksUpToDate>
  <CharactersWithSpaces>2810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2025-01-13T01:46:00Z</dcterms:created>
  <dc:creator>jdk</dc:creator>
  <cp:lastModifiedBy>梁军</cp:lastModifiedBy>
  <dcterms:modified xsi:type="dcterms:W3CDTF">2025-01-14T08:07:24Z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eyJoZGlkIjoiYTFmMzM3ZjU3NTY2NTQ5YjcxODkwYjkyMDg0M2Q3ZGIifQ==</vt:lpwstr>
  </property>
  <property fmtid="{D5CDD505-2E9C-101B-9397-08002B2CF9AE}" pid="4" name="ICV">
    <vt:lpwstr>4AEC0DB37FE840B0961F92C5472BCF2E_13</vt:lpwstr>
  </property>
</Properties>
</file>